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4190EB4F"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2FBFE702"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700E007B" w14:textId="1EB54CAE" w:rsidR="006B021C" w:rsidRPr="00626474" w:rsidRDefault="006B021C"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Rights in Noncommercial Computer Software and Noncommercial Computer Software Documentation (replaces FAR 52.227-14 unless another data rights clause is identified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1DCC0E2B"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Only One Offeror</w:t>
      </w:r>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73376195"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$700,000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$5,500,000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Intent to Furnish Precious Metals as Government-Furnished Materials (if precious metals may be provided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Prohibition on Storage, Treatment, and Disposal of Toxic or Hazardous Materials (if Seller will have access to a DoD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271C45AC"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Report of Intended Performance Outside the U.S. and Canada – Submission After Award (if Seller intends to perform, outside the U.S. and Canada, any work that exceeds $</w:t>
      </w:r>
      <w:r w:rsidR="00013B64">
        <w:rPr>
          <w:rFonts w:ascii="Franklin Gothic Book" w:hAnsi="Franklin Gothic Book" w:cs="Arial"/>
          <w:sz w:val="16"/>
          <w:szCs w:val="16"/>
        </w:rPr>
        <w:t>700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Duty Free Entry (replaces FAR 52.225-8 if supplies will be imported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Contractor Personnel Authorized to Accompany U.S. Armed Forces Deployed Outside the U.S. (if supporting Armed Forces deployed outside the U.S.)</w:t>
      </w:r>
    </w:p>
    <w:p w14:paraId="4C477CD2" w14:textId="5F345609"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Authorization to Perform (if performance will occur in whole or in part outside the U.S.)</w:t>
      </w:r>
    </w:p>
    <w:p w14:paraId="75D590CD" w14:textId="10779EAF" w:rsidR="002D7CF5" w:rsidRPr="00626474" w:rsidRDefault="002D7CF5"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4513C4C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 xml:space="preserve">Accident Reporting and Investigation Involving Aircraft, Missiles, and Space Launch Vehicles (if Subcontract involves </w:t>
      </w:r>
      <w:r w:rsidRPr="00626474">
        <w:rPr>
          <w:rFonts w:ascii="Franklin Gothic Book" w:hAnsi="Franklin Gothic Book" w:cs="Arial"/>
          <w:sz w:val="16"/>
          <w:szCs w:val="16"/>
        </w:rPr>
        <w:t>manufacture, modification, overhaul, or repair of aircraft, missiles, space launch vehicles, or components)</w:t>
      </w:r>
    </w:p>
    <w:p w14:paraId="226FE0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Information Assurance Contractor Training and Certification (if Subcontract involves information assurance functions as described in DoD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CDE9EF" w14:textId="14BF5B34"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sidR="002E3532">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5394397C" w14:textId="149DCBF1"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sidR="002E3532">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348342B8" w14:textId="6E5FF59C" w:rsidR="007655A6"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725E6132" w14:textId="77777777" w:rsidR="009E40B6" w:rsidRPr="00626474" w:rsidRDefault="009E40B6" w:rsidP="007655A6">
      <w:pPr>
        <w:pStyle w:val="Normal0"/>
        <w:spacing w:after="80"/>
        <w:ind w:left="1440" w:hanging="1440"/>
        <w:jc w:val="both"/>
        <w:rPr>
          <w:rFonts w:ascii="Franklin Gothic Book" w:hAnsi="Franklin Gothic Book" w:cs="Arial"/>
          <w:sz w:val="16"/>
          <w:szCs w:val="16"/>
        </w:rPr>
      </w:pPr>
    </w:p>
    <w:p w14:paraId="2AA35633" w14:textId="77777777" w:rsidR="007655A6"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00D3FB40"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2E3532">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w:t>
      </w:r>
    </w:p>
    <w:p w14:paraId="35FD5F55"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29A6F71B"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sidR="002E3532">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62D46B7F" w:rsidR="007655A6" w:rsidRPr="00626474" w:rsidRDefault="006B433D"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2E3532">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2E3532">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77777777" w:rsidR="007655A6" w:rsidRPr="00626474" w:rsidRDefault="006B433D"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6B433D"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6B433D"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Anti-Terrorism/Force Protection Policy for Defense Contractors Outside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6B433D"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C079C" w14:textId="77777777" w:rsidR="006B433D" w:rsidRDefault="006B433D">
      <w:r>
        <w:separator/>
      </w:r>
    </w:p>
  </w:endnote>
  <w:endnote w:type="continuationSeparator" w:id="0">
    <w:p w14:paraId="62912675" w14:textId="77777777" w:rsidR="006B433D" w:rsidRDefault="006B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BD654B6"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9E40B6">
      <w:rPr>
        <w:rFonts w:ascii="Franklin Gothic Book" w:hAnsi="Franklin Gothic Book"/>
        <w:iCs/>
        <w:color w:val="000000"/>
        <w:sz w:val="18"/>
        <w:szCs w:val="18"/>
      </w:rPr>
      <w:t>03/02</w:t>
    </w:r>
    <w:r w:rsidR="00526A6F" w:rsidRPr="00E43429">
      <w:rPr>
        <w:rFonts w:ascii="Franklin Gothic Book" w:hAnsi="Franklin Gothic Book"/>
        <w:iCs/>
        <w:color w:val="000000"/>
        <w:sz w:val="18"/>
        <w:szCs w:val="18"/>
      </w:rPr>
      <w:t>/20</w:t>
    </w:r>
    <w:r w:rsidR="006B021C">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E3532">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C343D" w14:textId="77777777" w:rsidR="006B433D" w:rsidRDefault="006B433D">
      <w:r>
        <w:separator/>
      </w:r>
    </w:p>
  </w:footnote>
  <w:footnote w:type="continuationSeparator" w:id="0">
    <w:p w14:paraId="5D609498" w14:textId="77777777" w:rsidR="006B433D" w:rsidRDefault="006B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3B64"/>
    <w:rsid w:val="00032DC2"/>
    <w:rsid w:val="000843CA"/>
    <w:rsid w:val="0008628D"/>
    <w:rsid w:val="000B39B5"/>
    <w:rsid w:val="000B6D39"/>
    <w:rsid w:val="000D2931"/>
    <w:rsid w:val="001055AB"/>
    <w:rsid w:val="00110901"/>
    <w:rsid w:val="00133ADD"/>
    <w:rsid w:val="00197224"/>
    <w:rsid w:val="001B0B35"/>
    <w:rsid w:val="001B7D24"/>
    <w:rsid w:val="001F1408"/>
    <w:rsid w:val="00253A44"/>
    <w:rsid w:val="00296382"/>
    <w:rsid w:val="002D7CF5"/>
    <w:rsid w:val="002E3532"/>
    <w:rsid w:val="003C3BA7"/>
    <w:rsid w:val="00447C23"/>
    <w:rsid w:val="00455D40"/>
    <w:rsid w:val="00467ED6"/>
    <w:rsid w:val="004949E3"/>
    <w:rsid w:val="004C6127"/>
    <w:rsid w:val="004F7F9F"/>
    <w:rsid w:val="00526A6F"/>
    <w:rsid w:val="00551F94"/>
    <w:rsid w:val="0056401E"/>
    <w:rsid w:val="005A65AE"/>
    <w:rsid w:val="005D1C17"/>
    <w:rsid w:val="00626474"/>
    <w:rsid w:val="00635D5F"/>
    <w:rsid w:val="00642667"/>
    <w:rsid w:val="006662D7"/>
    <w:rsid w:val="0066682C"/>
    <w:rsid w:val="00693191"/>
    <w:rsid w:val="006B021C"/>
    <w:rsid w:val="006B19CF"/>
    <w:rsid w:val="006B433D"/>
    <w:rsid w:val="006B5912"/>
    <w:rsid w:val="006D769F"/>
    <w:rsid w:val="006E699C"/>
    <w:rsid w:val="006E73CE"/>
    <w:rsid w:val="00710E49"/>
    <w:rsid w:val="00711C09"/>
    <w:rsid w:val="00742A1F"/>
    <w:rsid w:val="007655A6"/>
    <w:rsid w:val="007964CD"/>
    <w:rsid w:val="007A0D4E"/>
    <w:rsid w:val="007A7D2A"/>
    <w:rsid w:val="007B28D2"/>
    <w:rsid w:val="007B67E3"/>
    <w:rsid w:val="007C6338"/>
    <w:rsid w:val="007F1E24"/>
    <w:rsid w:val="00824090"/>
    <w:rsid w:val="00856EBD"/>
    <w:rsid w:val="00876B30"/>
    <w:rsid w:val="0089405F"/>
    <w:rsid w:val="008A558D"/>
    <w:rsid w:val="008B5FBC"/>
    <w:rsid w:val="008C0F5A"/>
    <w:rsid w:val="008C1B51"/>
    <w:rsid w:val="008E5A48"/>
    <w:rsid w:val="00936B39"/>
    <w:rsid w:val="00961D41"/>
    <w:rsid w:val="00977EA0"/>
    <w:rsid w:val="009B36FB"/>
    <w:rsid w:val="009E40B6"/>
    <w:rsid w:val="00A00ABA"/>
    <w:rsid w:val="00A122EF"/>
    <w:rsid w:val="00A706D2"/>
    <w:rsid w:val="00A750C2"/>
    <w:rsid w:val="00A83BE1"/>
    <w:rsid w:val="00A9120C"/>
    <w:rsid w:val="00AB7899"/>
    <w:rsid w:val="00AE4EFD"/>
    <w:rsid w:val="00B43F34"/>
    <w:rsid w:val="00B621A4"/>
    <w:rsid w:val="00BB445E"/>
    <w:rsid w:val="00BC609C"/>
    <w:rsid w:val="00BD4222"/>
    <w:rsid w:val="00BE0B6A"/>
    <w:rsid w:val="00BF028E"/>
    <w:rsid w:val="00C069FA"/>
    <w:rsid w:val="00C345D3"/>
    <w:rsid w:val="00C65E74"/>
    <w:rsid w:val="00C73A35"/>
    <w:rsid w:val="00C85672"/>
    <w:rsid w:val="00CF59C1"/>
    <w:rsid w:val="00D33859"/>
    <w:rsid w:val="00D62A52"/>
    <w:rsid w:val="00D64EBF"/>
    <w:rsid w:val="00D84C2C"/>
    <w:rsid w:val="00DA55C9"/>
    <w:rsid w:val="00DB6E59"/>
    <w:rsid w:val="00DE4B55"/>
    <w:rsid w:val="00E35851"/>
    <w:rsid w:val="00E43429"/>
    <w:rsid w:val="00E6513F"/>
    <w:rsid w:val="00E80AD2"/>
    <w:rsid w:val="00EA2AF3"/>
    <w:rsid w:val="00ED2326"/>
    <w:rsid w:val="00EE79B8"/>
    <w:rsid w:val="00EF1ADD"/>
    <w:rsid w:val="00F34147"/>
    <w:rsid w:val="00F477A4"/>
    <w:rsid w:val="00F57E92"/>
    <w:rsid w:val="00F7017F"/>
    <w:rsid w:val="00FA31A3"/>
    <w:rsid w:val="00FC787F"/>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0E61-95B1-4155-AC61-0BDC7766EA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E3C39-CC2E-45A1-AE0A-E6240F67D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ED31F0-80E5-4BCC-921E-00195DDBEEFC}">
  <ds:schemaRefs>
    <ds:schemaRef ds:uri="http://schemas.microsoft.com/sharepoint/v3/contenttype/forms"/>
  </ds:schemaRefs>
</ds:datastoreItem>
</file>

<file path=customXml/itemProps4.xml><?xml version="1.0" encoding="utf-8"?>
<ds:datastoreItem xmlns:ds="http://schemas.openxmlformats.org/officeDocument/2006/customXml" ds:itemID="{881A1005-7C9C-4B53-BC22-73C2552E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2020-03-04T14:01:00Z</dcterms:created>
  <dcterms:modified xsi:type="dcterms:W3CDTF">2020-03-04T14:01:00Z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