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w:t>
      </w:r>
      <w:r w:rsidRPr="005E4FA2">
        <w:rPr>
          <w:rFonts w:ascii="Franklin Gothic Book" w:hAnsi="Franklin Gothic Book"/>
          <w:szCs w:val="20"/>
        </w:rPr>
        <w:lastRenderedPageBreak/>
        <w:t xml:space="preserve">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C5D2C10"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lastRenderedPageBreak/>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all goods delivered pursuant hereto will be new, unless otherwise specified, and free from defects in material and workmanship; (</w:t>
      </w:r>
      <w:r>
        <w:rPr>
          <w:rFonts w:ascii="Franklin Gothic Book" w:hAnsi="Franklin Gothic Book"/>
          <w:szCs w:val="20"/>
        </w:rPr>
        <w:t>3</w:t>
      </w:r>
      <w:r w:rsidR="00CC149F" w:rsidRPr="005E4FA2">
        <w:rPr>
          <w:rFonts w:ascii="Franklin Gothic Book" w:hAnsi="Franklin Gothic Book"/>
          <w:szCs w:val="20"/>
        </w:rPr>
        <w:t xml:space="preserve">) all goods will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all items will be free from defects in design and suitable for their intended purpose; and (</w:t>
      </w:r>
      <w:r>
        <w:rPr>
          <w:rFonts w:ascii="Franklin Gothic Book" w:hAnsi="Franklin Gothic Book"/>
          <w:szCs w:val="20"/>
        </w:rPr>
        <w:t>4</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48500A1B" w14:textId="57D02D9B" w:rsidR="004E33D8"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68727803" w14:textId="77777777" w:rsidR="002650C6" w:rsidRDefault="002650C6" w:rsidP="001B4D5E">
      <w:pPr>
        <w:pStyle w:val="BodyText2"/>
        <w:tabs>
          <w:tab w:val="left" w:pos="0"/>
          <w:tab w:val="left" w:pos="540"/>
        </w:tabs>
        <w:spacing w:before="30" w:after="60"/>
        <w:jc w:val="both"/>
        <w:rPr>
          <w:rFonts w:ascii="Franklin Gothic Book" w:hAnsi="Franklin Gothic Book"/>
          <w:szCs w:val="20"/>
        </w:rPr>
      </w:pPr>
    </w:p>
    <w:p w14:paraId="5930325B" w14:textId="645F2FB4" w:rsidR="00CC149F"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t xml:space="preserve">(c)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w:t>
      </w:r>
      <w:r>
        <w:rPr>
          <w:rFonts w:ascii="Franklin Gothic Book" w:hAnsi="Franklin Gothic Book" w:cs="Calibri"/>
        </w:rPr>
        <w:lastRenderedPageBreak/>
        <w:t>of a license to remedy the breach; or 3) reimbursement of the purchase price</w:t>
      </w:r>
      <w:r w:rsidR="009A151C">
        <w:rPr>
          <w:rFonts w:ascii="Franklin Gothic Book" w:hAnsi="Franklin Gothic Book" w:cs="Calibri"/>
        </w:rPr>
        <w:t>.</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 xml:space="preserve">pon Buyer's request Seller agrees to provide Certificates of Insurance evidencing that the required insurance coverage </w:t>
      </w:r>
      <w:r w:rsidRPr="005E4FA2">
        <w:rPr>
          <w:rFonts w:ascii="Franklin Gothic Book" w:hAnsi="Franklin Gothic Book"/>
          <w:szCs w:val="20"/>
        </w:rPr>
        <w:lastRenderedPageBreak/>
        <w:t>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2D703C6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2C80653E" w14:textId="45CA060C"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w:t>
      </w:r>
      <w:r w:rsidR="00754288" w:rsidRPr="0067166D">
        <w:rPr>
          <w:rFonts w:ascii="Franklin Gothic Book" w:hAnsi="Franklin Gothic Book" w:cs="Arial"/>
          <w:sz w:val="20"/>
          <w:szCs w:val="20"/>
        </w:rPr>
        <w:lastRenderedPageBreak/>
        <w:t xml:space="preserve">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 </w:t>
      </w:r>
    </w:p>
    <w:p w14:paraId="2E429C04" w14:textId="4C099474"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 xml:space="preserve">Technology </w:t>
      </w:r>
      <w:r w:rsidR="004E33D8">
        <w:rPr>
          <w:rFonts w:ascii="Franklin Gothic Medium" w:hAnsi="Franklin Gothic Medium"/>
          <w:sz w:val="20"/>
          <w:szCs w:val="20"/>
        </w:rPr>
        <w:t xml:space="preserve">and </w:t>
      </w:r>
      <w:r>
        <w:rPr>
          <w:rFonts w:ascii="Franklin Gothic Medium" w:hAnsi="Franklin Gothic Medium"/>
          <w:sz w:val="20"/>
          <w:szCs w:val="20"/>
        </w:rPr>
        <w:t>Professional Liability (Errors and Omissions)</w:t>
      </w:r>
      <w:r>
        <w:rPr>
          <w:rFonts w:ascii="Franklin Gothic Book" w:hAnsi="Franklin Gothic Book"/>
          <w:sz w:val="20"/>
          <w:szCs w:val="20"/>
        </w:rPr>
        <w:t xml:space="preserve">:  Insurance appropriate to cover the Sellers’s profession with limits not less than $5,000,000 per claim. Coverage terms and conditions shall be sufficiently broad to respond to the duties and obligations as it is undertaken by Seller in this </w:t>
      </w:r>
      <w:r w:rsidR="00171F14">
        <w:rPr>
          <w:rFonts w:ascii="Franklin Gothic Book" w:hAnsi="Franklin Gothic Book"/>
          <w:sz w:val="20"/>
          <w:szCs w:val="20"/>
        </w:rPr>
        <w:t>Order</w:t>
      </w:r>
      <w:r>
        <w:rPr>
          <w:rFonts w:ascii="Franklin Gothic Book" w:hAnsi="Franklin Gothic Book"/>
          <w:sz w:val="20"/>
          <w:szCs w:val="20"/>
        </w:rPr>
        <w:t xml:space="preserve"> and shall include, but be not limited to, claims involving infringement of intellectual property, including but not limited to infringement of copyright, trademark, trade</w:t>
      </w:r>
      <w:r w:rsidR="00171F14">
        <w:rPr>
          <w:rFonts w:ascii="Franklin Gothic Book" w:hAnsi="Franklin Gothic Book"/>
          <w:sz w:val="20"/>
          <w:szCs w:val="20"/>
        </w:rPr>
        <w:t xml:space="preserve"> </w:t>
      </w:r>
      <w:r>
        <w:rPr>
          <w:rFonts w:ascii="Franklin Gothic Book" w:hAnsi="Franklin Gothic Book"/>
          <w:sz w:val="20"/>
          <w:szCs w:val="20"/>
        </w:rPr>
        <w:t>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w:t>
      </w:r>
    </w:p>
    <w:p w14:paraId="06AD731E" w14:textId="4C99271C" w:rsidR="006409A6" w:rsidRPr="001B4D5E" w:rsidRDefault="006409A6" w:rsidP="006409A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r w:rsidRPr="001A5440">
        <w:rPr>
          <w:rFonts w:ascii="Franklin Gothic Book" w:hAnsi="Franklin Gothic Book" w:cs="Arial"/>
          <w:sz w:val="20"/>
          <w:szCs w:val="20"/>
        </w:rPr>
        <w:t xml:space="preserve">   </w:t>
      </w:r>
    </w:p>
    <w:p w14:paraId="2CA61CFC" w14:textId="674BC322" w:rsidR="001F210B" w:rsidRPr="002650C6" w:rsidRDefault="005E4FA2" w:rsidP="002650C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1F210B">
        <w:rPr>
          <w:rFonts w:ascii="Franklin Gothic Book" w:hAnsi="Franklin Gothic Book"/>
          <w:sz w:val="20"/>
          <w:szCs w:val="20"/>
        </w:rPr>
        <w:t>.</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1DB080F8" w14:textId="633EF0B6"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w:t>
      </w:r>
      <w:r w:rsidRPr="0067166D">
        <w:rPr>
          <w:rFonts w:ascii="Franklin Gothic Book" w:hAnsi="Franklin Gothic Book" w:cs="Calibri"/>
          <w:sz w:val="20"/>
        </w:rPr>
        <w:lastRenderedPageBreak/>
        <w:t xml:space="preserve">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lastRenderedPageBreak/>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1FFADA24"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00CA1498"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lastRenderedPageBreak/>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1BBC156C"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0EA4C311" w14:textId="51108ED7"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7A16BB">
        <w:rPr>
          <w:rFonts w:ascii="Franklin Gothic Book" w:hAnsi="Franklin Gothic Book"/>
        </w:rPr>
        <w:t>Order</w:t>
      </w:r>
      <w:r w:rsidR="007A16BB"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4E33D8">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4E33D8">
        <w:rPr>
          <w:rFonts w:ascii="Franklin Gothic Book" w:hAnsi="Franklin Gothic Book"/>
        </w:rPr>
        <w:lastRenderedPageBreak/>
        <w:t>conducted</w:t>
      </w:r>
      <w:r w:rsidR="004E33D8"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4E33D8">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 </w:t>
      </w:r>
      <w:r w:rsidR="004E33D8">
        <w:rPr>
          <w:rFonts w:ascii="Franklin Gothic Book" w:hAnsi="Franklin Gothic Book"/>
        </w:rPr>
        <w:t xml:space="preserve">elsewhere in the </w:t>
      </w:r>
      <w:r w:rsidR="00171F14">
        <w:rPr>
          <w:rFonts w:ascii="Franklin Gothic Book" w:hAnsi="Franklin Gothic Book"/>
        </w:rPr>
        <w:t>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7455AD">
        <w:rPr>
          <w:rFonts w:ascii="Franklin Gothic Book" w:hAnsi="Franklin Gothic Book"/>
        </w:rPr>
        <w:t xml:space="preserve">Buyer </w:t>
      </w:r>
      <w:r w:rsidR="004E33D8">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4E33D8">
        <w:rPr>
          <w:rFonts w:ascii="Franklin Gothic Book" w:hAnsi="Franklin Gothic Book"/>
        </w:rPr>
        <w:t xml:space="preserve"> as well as</w:t>
      </w:r>
      <w:r w:rsidR="004E33D8" w:rsidRPr="007B47B2">
        <w:rPr>
          <w:rFonts w:ascii="Franklin Gothic Book" w:hAnsi="Franklin Gothic Book"/>
        </w:rPr>
        <w:t xml:space="preserve"> </w:t>
      </w:r>
      <w:r w:rsidRPr="007B47B2">
        <w:rPr>
          <w:rFonts w:ascii="Franklin Gothic Book" w:hAnsi="Franklin Gothic Book"/>
        </w:rPr>
        <w:t xml:space="preserve">to carry out recovery or other actions (e.g. mailing notices) necessary to remedy such breach.  The content of any filings, communications, notices, or reports related to any breach must first be approved in writing by </w:t>
      </w:r>
      <w:r w:rsidR="007455AD">
        <w:rPr>
          <w:rFonts w:ascii="Franklin Gothic Book" w:hAnsi="Franklin Gothic Book"/>
        </w:rPr>
        <w:t>Buyer</w:t>
      </w:r>
      <w:r w:rsidRPr="007B47B2">
        <w:rPr>
          <w:rFonts w:ascii="Franklin Gothic Book" w:hAnsi="Franklin Gothic Book"/>
        </w:rPr>
        <w:t xml:space="preserve">. Seller will immediately notify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1B4D5E">
        <w:rPr>
          <w:rFonts w:ascii="Franklin Gothic Book" w:hAnsi="Franklin Gothic Book"/>
        </w:rPr>
        <w:t>Buyer</w:t>
      </w:r>
      <w:r w:rsidR="001B4D5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7A16BB">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5A23C9DC" w14:textId="77777777" w:rsidR="004E33D8" w:rsidRPr="00CD391F" w:rsidRDefault="004E33D8" w:rsidP="002650C6">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2A03DD48" w14:textId="05C4C8C4" w:rsidR="004E33D8" w:rsidRDefault="004E33D8" w:rsidP="002650C6">
      <w:pPr>
        <w:pStyle w:val="RGHeading2"/>
        <w:numPr>
          <w:ilvl w:val="0"/>
          <w:numId w:val="0"/>
        </w:numPr>
        <w:tabs>
          <w:tab w:val="left" w:pos="720"/>
        </w:tabs>
        <w:spacing w:before="30" w:after="60"/>
        <w:jc w:val="both"/>
        <w:rPr>
          <w:rFonts w:ascii="Franklin Gothic Book" w:hAnsi="Franklin Gothic Book"/>
        </w:rPr>
      </w:pPr>
      <w:r w:rsidRPr="00DE2848">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 xml:space="preserve">and shall be treated as confidential and shall not be further </w:t>
      </w:r>
      <w:r w:rsidRPr="007621B6">
        <w:rPr>
          <w:rFonts w:ascii="Franklin Gothic Book" w:hAnsi="Franklin Gothic Book"/>
        </w:rPr>
        <w:lastRenderedPageBreak/>
        <w:t>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14CDD42" w14:textId="77777777" w:rsidR="004E33D8" w:rsidRPr="007621B6" w:rsidRDefault="004E33D8" w:rsidP="002650C6">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6DB1070C" w14:textId="57836EF8" w:rsidR="004E33D8" w:rsidRDefault="004E33D8" w:rsidP="002650C6">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48E8F62A" w14:textId="277CDA70" w:rsidR="004E33D8" w:rsidRPr="001F210B" w:rsidRDefault="004E33D8" w:rsidP="002650C6">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637A1A44" w14:textId="2212DE5A"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shall not be acquired from independent distributors or brokers unless approved in advance in writing by Buyer. When requested by Buyer, Seller shall provide OCM/OEM documentation that </w:t>
      </w:r>
      <w:r w:rsidRPr="00AB7BD3">
        <w:rPr>
          <w:rFonts w:ascii="Franklin Gothic Book" w:hAnsi="Franklin Gothic Book" w:cs="Arial"/>
          <w:sz w:val="20"/>
          <w:szCs w:val="20"/>
        </w:rPr>
        <w:lastRenderedPageBreak/>
        <w:t>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 xml:space="preserve">causes a material increase or decrease in the cost of, </w:t>
      </w:r>
      <w:r w:rsidR="007F26F4" w:rsidRPr="00AB7BD3">
        <w:rPr>
          <w:rFonts w:ascii="Franklin Gothic Book" w:hAnsi="Franklin Gothic Book"/>
          <w:szCs w:val="20"/>
        </w:rPr>
        <w:lastRenderedPageBreak/>
        <w:t>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lastRenderedPageBreak/>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w:t>
      </w:r>
      <w:r w:rsidRPr="00D32594">
        <w:rPr>
          <w:rFonts w:ascii="Franklin Gothic Book" w:hAnsi="Franklin Gothic Book"/>
          <w:sz w:val="20"/>
          <w:szCs w:val="20"/>
        </w:rPr>
        <w:lastRenderedPageBreak/>
        <w:t xml:space="preserve">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w:t>
      </w:r>
      <w:r w:rsidRPr="00D32594">
        <w:rPr>
          <w:rFonts w:ascii="Franklin Gothic Book" w:hAnsi="Franklin Gothic Book"/>
          <w:sz w:val="20"/>
          <w:szCs w:val="20"/>
        </w:rPr>
        <w:lastRenderedPageBreak/>
        <w:t>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lastRenderedPageBreak/>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49CB7131" w:rsidR="00AB7BD3" w:rsidRPr="002B1CFE"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2B1CFE">
        <w:rPr>
          <w:rFonts w:ascii="Franklin Gothic Book" w:hAnsi="Franklin Gothic Book"/>
          <w:sz w:val="20"/>
          <w:szCs w:val="20"/>
        </w:rPr>
        <w:t xml:space="preserve">FAR </w:t>
      </w:r>
      <w:r w:rsidR="005D4595" w:rsidRPr="002B1CFE">
        <w:rPr>
          <w:rFonts w:ascii="Franklin Gothic Book" w:hAnsi="Franklin Gothic Book"/>
          <w:sz w:val="20"/>
          <w:szCs w:val="20"/>
        </w:rPr>
        <w:t xml:space="preserve">Clauses </w:t>
      </w:r>
      <w:r w:rsidR="00AB7BD3" w:rsidRPr="002B1CFE">
        <w:rPr>
          <w:rFonts w:ascii="Franklin Gothic Book" w:hAnsi="Franklin Gothic Book"/>
          <w:sz w:val="20"/>
          <w:szCs w:val="20"/>
        </w:rPr>
        <w:t>(Rev.</w:t>
      </w:r>
      <w:r w:rsidR="002B1CFE" w:rsidRPr="002B1CFE">
        <w:rPr>
          <w:rFonts w:ascii="Franklin Gothic Book" w:hAnsi="Franklin Gothic Book"/>
          <w:sz w:val="20"/>
          <w:szCs w:val="20"/>
        </w:rPr>
        <w:t>2018-09-17)</w:t>
      </w:r>
    </w:p>
    <w:p w14:paraId="49B04C3D" w14:textId="5A6A2A7D" w:rsidR="00110B2B" w:rsidRPr="002B1CFE" w:rsidRDefault="002B1CFE"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2B1CFE">
        <w:rPr>
          <w:rFonts w:ascii="Franklin Gothic Book" w:hAnsi="Franklin Gothic Book"/>
          <w:sz w:val="20"/>
          <w:szCs w:val="20"/>
        </w:rPr>
        <w:t xml:space="preserve">DFARS </w:t>
      </w:r>
      <w:r w:rsidR="005D4595" w:rsidRPr="002B1CFE">
        <w:rPr>
          <w:rFonts w:ascii="Franklin Gothic Book" w:hAnsi="Franklin Gothic Book"/>
          <w:sz w:val="20"/>
          <w:szCs w:val="20"/>
        </w:rPr>
        <w:t xml:space="preserve">Clauses </w:t>
      </w:r>
      <w:r w:rsidR="00AB7BD3" w:rsidRPr="002B1CFE">
        <w:rPr>
          <w:rFonts w:ascii="Franklin Gothic Book" w:hAnsi="Franklin Gothic Book"/>
          <w:sz w:val="20"/>
          <w:szCs w:val="20"/>
        </w:rPr>
        <w:t>(Rev.</w:t>
      </w:r>
      <w:r w:rsidRPr="002B1CFE">
        <w:rPr>
          <w:rFonts w:ascii="Franklin Gothic Book" w:hAnsi="Franklin Gothic Book"/>
          <w:sz w:val="20"/>
          <w:szCs w:val="20"/>
        </w:rPr>
        <w:t>2019-02-25)</w:t>
      </w:r>
      <w:bookmarkStart w:id="0" w:name="_GoBack"/>
      <w:bookmarkEnd w:id="0"/>
    </w:p>
    <w:p w14:paraId="72781564" w14:textId="26938EDE" w:rsidR="00AB7BD3" w:rsidRPr="002B1CFE"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2B1CFE">
        <w:rPr>
          <w:rFonts w:ascii="Franklin Gothic Book" w:hAnsi="Franklin Gothic Book" w:cs="Arial"/>
          <w:sz w:val="20"/>
          <w:szCs w:val="20"/>
        </w:rPr>
        <w:t>Special Prime Contract Requirements</w:t>
      </w:r>
      <w:r w:rsidR="00AB7BD3" w:rsidRPr="002B1CFE">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lastRenderedPageBreak/>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9F5A" w14:textId="77777777" w:rsidR="001E7081" w:rsidRDefault="001E7081">
      <w:r>
        <w:separator/>
      </w:r>
    </w:p>
  </w:endnote>
  <w:endnote w:type="continuationSeparator" w:id="0">
    <w:p w14:paraId="4529D4DE" w14:textId="77777777" w:rsidR="001E7081" w:rsidRDefault="001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719BC131"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1F210B">
      <w:rPr>
        <w:rFonts w:ascii="Franklin Gothic Book" w:hAnsi="Franklin Gothic Book" w:cs="Arial"/>
        <w:sz w:val="18"/>
        <w:szCs w:val="18"/>
      </w:rPr>
      <w:t>02/25</w:t>
    </w:r>
    <w:r w:rsidR="006D152B">
      <w:rPr>
        <w:rFonts w:ascii="Franklin Gothic Book" w:hAnsi="Franklin Gothic Book" w:cs="Arial"/>
        <w:sz w:val="18"/>
        <w:szCs w:val="18"/>
      </w:rPr>
      <w:t>/201</w:t>
    </w:r>
    <w:r w:rsidR="004E33D8">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2B1CFE">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2B1CFE">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9D835" w14:textId="77777777" w:rsidR="001E7081" w:rsidRDefault="001E7081">
      <w:r>
        <w:separator/>
      </w:r>
    </w:p>
  </w:footnote>
  <w:footnote w:type="continuationSeparator" w:id="0">
    <w:p w14:paraId="2BC23476" w14:textId="77777777" w:rsidR="001E7081" w:rsidRDefault="001E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6"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7"/>
  </w:num>
  <w:num w:numId="4">
    <w:abstractNumId w:val="24"/>
  </w:num>
  <w:num w:numId="5">
    <w:abstractNumId w:val="1"/>
  </w:num>
  <w:num w:numId="6">
    <w:abstractNumId w:val="17"/>
  </w:num>
  <w:num w:numId="7">
    <w:abstractNumId w:val="9"/>
  </w:num>
  <w:num w:numId="8">
    <w:abstractNumId w:val="6"/>
  </w:num>
  <w:num w:numId="9">
    <w:abstractNumId w:val="18"/>
  </w:num>
  <w:num w:numId="10">
    <w:abstractNumId w:val="26"/>
  </w:num>
  <w:num w:numId="11">
    <w:abstractNumId w:val="10"/>
  </w:num>
  <w:num w:numId="12">
    <w:abstractNumId w:val="20"/>
  </w:num>
  <w:num w:numId="13">
    <w:abstractNumId w:val="21"/>
  </w:num>
  <w:num w:numId="14">
    <w:abstractNumId w:val="4"/>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5"/>
  </w:num>
  <w:num w:numId="22">
    <w:abstractNumId w:val="22"/>
  </w:num>
  <w:num w:numId="23">
    <w:abstractNumId w:val="25"/>
  </w:num>
  <w:num w:numId="24">
    <w:abstractNumId w:val="16"/>
  </w:num>
  <w:num w:numId="25">
    <w:abstractNumId w:val="0"/>
  </w:num>
  <w:num w:numId="26">
    <w:abstractNumId w:val="5"/>
  </w:num>
  <w:num w:numId="27">
    <w:abstractNumId w:val="19"/>
  </w:num>
  <w:num w:numId="28">
    <w:abstractNumId w:val="8"/>
  </w:num>
  <w:num w:numId="29">
    <w:abstractNumId w:val="27"/>
  </w:num>
  <w:num w:numId="30">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745C"/>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34527"/>
    <w:rsid w:val="0023788D"/>
    <w:rsid w:val="002421EB"/>
    <w:rsid w:val="002650C6"/>
    <w:rsid w:val="00281DCF"/>
    <w:rsid w:val="00284171"/>
    <w:rsid w:val="002848F6"/>
    <w:rsid w:val="00284AF6"/>
    <w:rsid w:val="002952B7"/>
    <w:rsid w:val="002B1CFE"/>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14EF0"/>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92A6E"/>
    <w:rsid w:val="0090131D"/>
    <w:rsid w:val="00907AD5"/>
    <w:rsid w:val="00911C07"/>
    <w:rsid w:val="00913320"/>
    <w:rsid w:val="00961292"/>
    <w:rsid w:val="00971CFB"/>
    <w:rsid w:val="00971E56"/>
    <w:rsid w:val="00975B83"/>
    <w:rsid w:val="00976011"/>
    <w:rsid w:val="00996913"/>
    <w:rsid w:val="009A151C"/>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2EEE"/>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E2848"/>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C1131"/>
    <w:rsid w:val="00EC763E"/>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6B3AC7D-12A3-4923-972F-46800192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7031F72A-6003-4BBA-9431-282C5015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5930</Words>
  <Characters>33803</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39654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2</cp:revision>
  <cp:lastPrinted>2015-05-13T14:13:00Z</cp:lastPrinted>
  <dcterms:created xsi:type="dcterms:W3CDTF">2019-02-26T01:13:00Z</dcterms:created>
  <dcterms:modified xsi:type="dcterms:W3CDTF">2019-02-26T01:13:00Z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