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77777777"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35705B95"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Epayment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 xml:space="preserve">Acceptance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47FA740A"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transferable, royalty-free license to reproduce, publish, use and disclose, for any purpose, all or any part of any deliverable Seller submits 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2"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70158F">
        <w:rPr>
          <w:rFonts w:ascii="Franklin Gothic Book" w:hAnsi="Franklin Gothic Book" w:cs="Arial"/>
          <w:sz w:val="20"/>
          <w:szCs w:val="20"/>
        </w:rPr>
        <w:t xml:space="preserve">protect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the parties expressly agree that the sole and exclusive venue for any legal proceedings concerning said dispute shall be in the state or federal courts of the Commonwealth of Virginia,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Standard Terms and Conditions for Commercial Items (Federal)</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lastRenderedPageBreak/>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w:t>
      </w:r>
      <w:bookmarkStart w:id="1" w:name="wp1146004"/>
      <w:bookmarkStart w:id="2" w:name="wp1146005"/>
      <w:bookmarkStart w:id="3" w:name="wp1146006"/>
      <w:bookmarkStart w:id="4" w:name="wp1146007"/>
      <w:bookmarkStart w:id="5" w:name="wp1146008"/>
      <w:bookmarkStart w:id="6" w:name="wp1146009"/>
      <w:bookmarkStart w:id="7" w:name="wp1146010"/>
      <w:bookmarkStart w:id="8" w:name="wp1146011"/>
      <w:bookmarkStart w:id="9" w:name="wp1146012"/>
      <w:bookmarkStart w:id="10" w:name="wp1146013"/>
      <w:bookmarkStart w:id="11" w:name="wp1146014"/>
      <w:bookmarkStart w:id="12" w:name="wp1146015"/>
      <w:bookmarkStart w:id="13" w:name="wp1146016"/>
      <w:bookmarkStart w:id="14" w:name="wp1146017"/>
      <w:bookmarkEnd w:id="1"/>
      <w:bookmarkEnd w:id="2"/>
      <w:bookmarkEnd w:id="3"/>
      <w:bookmarkEnd w:id="4"/>
      <w:bookmarkEnd w:id="5"/>
      <w:bookmarkEnd w:id="6"/>
      <w:bookmarkEnd w:id="7"/>
      <w:bookmarkEnd w:id="8"/>
      <w:bookmarkEnd w:id="9"/>
      <w:bookmarkEnd w:id="10"/>
      <w:bookmarkEnd w:id="11"/>
      <w:bookmarkEnd w:id="12"/>
      <w:bookmarkEnd w:id="13"/>
      <w:bookmarkEnd w:id="14"/>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0C5EF4D0"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3C7E7D40"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Nondisplacement of Qualified Workers (MAY 2014)(E.O.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211CA8DA"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64C6FD93"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666EBD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(FEB 2006) (46 U.S.c. Appx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lastRenderedPageBreak/>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06A1C3A9"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3B04A1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466EBCC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3E56C91A"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1355FA73"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697D05C4"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1AB1E2C8"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08A6D7AD"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D4425DA"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4F02EC45"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050ACB64"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347C6461"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5" w:name="P1145_187615"/>
            <w:bookmarkEnd w:id="15"/>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3DB8D9CD"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CD784A2"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EndPr/>
          <w:sdtContent>
            <w:tc>
              <w:tcPr>
                <w:tcW w:w="456" w:type="dxa"/>
              </w:tcPr>
              <w:p w14:paraId="0A46D836" w14:textId="4FDA70AB"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4EB3A3C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28861A2E"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2F1DDD49"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17D58ED"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6863AF71"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50243C1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367C5994" w:rsidR="00971CFB"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5637DF88"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2670EA3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3CDE36D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96EDBB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85540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6" w:name="P102_18666"/>
            <w:bookmarkEnd w:id="16"/>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2DFC31B3"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EB3061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413A39E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59E57FC" w:rsidR="00AB30D6" w:rsidRPr="000576B8" w:rsidRDefault="00AB30D6" w:rsidP="000E5E6C">
            <w:pPr>
              <w:rPr>
                <w:rFonts w:ascii="Franklin Gothic Book" w:hAnsi="Franklin Gothic Book"/>
                <w:sz w:val="18"/>
                <w:szCs w:val="18"/>
              </w:rPr>
            </w:pPr>
            <w:r>
              <w:rPr>
                <w:rFonts w:ascii="Franklin Gothic Book" w:hAnsi="Franklin Gothic Book"/>
                <w:sz w:val="18"/>
                <w:szCs w:val="18"/>
              </w:rPr>
              <w:t xml:space="preserve">Safeguarding </w:t>
            </w:r>
            <w:r w:rsidR="000E5E6C">
              <w:rPr>
                <w:rFonts w:ascii="Franklin Gothic Book" w:hAnsi="Franklin Gothic Book"/>
                <w:sz w:val="18"/>
                <w:szCs w:val="18"/>
              </w:rPr>
              <w:t>Covered Defense Information and Cyber Incident Reporting</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 xml:space="preserve">if Subcontract exceeds </w:t>
            </w:r>
            <w:r>
              <w:rPr>
                <w:rFonts w:ascii="Franklin Gothic Book" w:hAnsi="Franklin Gothic Book"/>
                <w:i/>
                <w:sz w:val="18"/>
                <w:szCs w:val="18"/>
              </w:rPr>
              <w:lastRenderedPageBreak/>
              <w:t>$150,000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lastRenderedPageBreak/>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60023D" w:rsidRPr="00DF4C88" w14:paraId="284FC0B4" w14:textId="77777777" w:rsidTr="00FF097A">
        <w:trPr>
          <w:jc w:val="center"/>
        </w:trPr>
        <w:sdt>
          <w:sdtPr>
            <w:rPr>
              <w:rFonts w:ascii="Franklin Gothic Book" w:hAnsi="Franklin Gothic Book"/>
              <w:sz w:val="18"/>
              <w:szCs w:val="18"/>
            </w:rPr>
            <w:id w:val="1593041635"/>
            <w14:checkbox>
              <w14:checked w14:val="0"/>
              <w14:checkedState w14:val="2612" w14:font="MS Gothic"/>
              <w14:uncheckedState w14:val="2610" w14:font="MS Gothic"/>
            </w14:checkbox>
          </w:sdtPr>
          <w:sdtEndPr/>
          <w:sdtContent>
            <w:tc>
              <w:tcPr>
                <w:tcW w:w="459" w:type="dxa"/>
              </w:tcPr>
              <w:p w14:paraId="4629D39F" w14:textId="77777777" w:rsidR="0060023D" w:rsidRPr="00DF4C88" w:rsidRDefault="0060023D" w:rsidP="00FF097A">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DA85EF1" w14:textId="184DDB6F" w:rsidR="0060023D" w:rsidRPr="00DF4C88" w:rsidRDefault="0060023D" w:rsidP="00FF097A">
            <w:pPr>
              <w:rPr>
                <w:rFonts w:ascii="Franklin Gothic Book" w:hAnsi="Franklin Gothic Book"/>
                <w:sz w:val="18"/>
                <w:szCs w:val="18"/>
              </w:rPr>
            </w:pPr>
            <w:r>
              <w:rPr>
                <w:rFonts w:ascii="Franklin Gothic Book" w:hAnsi="Franklin Gothic Book" w:cs="Arial"/>
                <w:sz w:val="18"/>
                <w:szCs w:val="18"/>
              </w:rPr>
              <w:t>252.204-7009</w:t>
            </w:r>
          </w:p>
        </w:tc>
        <w:tc>
          <w:tcPr>
            <w:tcW w:w="8370" w:type="dxa"/>
          </w:tcPr>
          <w:p w14:paraId="4F4F17C5" w14:textId="439769CD" w:rsidR="0060023D" w:rsidRPr="00DF4C88" w:rsidRDefault="0060023D" w:rsidP="0060023D">
            <w:pPr>
              <w:rPr>
                <w:rFonts w:ascii="Franklin Gothic Book" w:hAnsi="Franklin Gothic Book"/>
                <w:sz w:val="18"/>
                <w:szCs w:val="18"/>
              </w:rPr>
            </w:pPr>
            <w:r>
              <w:rPr>
                <w:rFonts w:ascii="Franklin Gothic Book" w:hAnsi="Franklin Gothic Book" w:cs="Arial"/>
                <w:sz w:val="18"/>
                <w:szCs w:val="18"/>
              </w:rPr>
              <w:t>Limitations on the Use or Disclosure of Third-Party Contractor Reported Cyber Incident Information</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459" w:type="dxa"/>
              </w:tcPr>
              <w:p w14:paraId="0AC2CADD" w14:textId="2216E7D5"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4715D69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2396379B"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459" w:type="dxa"/>
              </w:tcPr>
              <w:p w14:paraId="0D66CE82" w14:textId="715C196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3061D11E" w:rsidR="00AB30D6" w:rsidRPr="008077E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459" w:type="dxa"/>
              </w:tcPr>
              <w:p w14:paraId="2F13B024" w14:textId="69C6DAB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6F129A1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459" w:type="dxa"/>
              </w:tcPr>
              <w:p w14:paraId="08AE6456" w14:textId="5AD639F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459" w:type="dxa"/>
              </w:tcPr>
              <w:p w14:paraId="7ADD8931" w14:textId="4FA5174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6C5C95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274CAD93"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2B740C76"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0B7162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7" w:name="P1320_80733"/>
            <w:bookmarkEnd w:id="17"/>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459" w:type="dxa"/>
              </w:tcPr>
              <w:p w14:paraId="69A22411" w14:textId="3760FF5D"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459" w:type="dxa"/>
              </w:tcPr>
              <w:p w14:paraId="071AEB1A" w14:textId="46C7C04C"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3463B0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0CDA6E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459" w:type="dxa"/>
              </w:tcPr>
              <w:p w14:paraId="25F7B830" w14:textId="0F1B8C0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645170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8" w:name="P1870_119418"/>
            <w:bookmarkEnd w:id="18"/>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562B867C"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6988B8C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104265C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459A360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0ED000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132645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1F8EB4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21D582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9" w:name="P2222_146017"/>
            <w:bookmarkEnd w:id="19"/>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2AF3998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4D8A0D6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65CE2DB4"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459" w:type="dxa"/>
              </w:tcPr>
              <w:p w14:paraId="031DBD59" w14:textId="7E3F73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20" w:name="P297_15656"/>
            <w:bookmarkEnd w:id="20"/>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34A95F8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1B10A413"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32321F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459" w:type="dxa"/>
              </w:tcPr>
              <w:p w14:paraId="220C47A2" w14:textId="246BB260"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3CE135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459" w:type="dxa"/>
              </w:tcPr>
              <w:p w14:paraId="375BE1EA" w14:textId="675852E0"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5DBA5D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60023D" w:rsidRPr="00DF4C88" w14:paraId="3ECF85B4" w14:textId="77777777" w:rsidTr="00FF097A">
        <w:trPr>
          <w:jc w:val="center"/>
        </w:trPr>
        <w:sdt>
          <w:sdtPr>
            <w:rPr>
              <w:rFonts w:ascii="Franklin Gothic Book" w:hAnsi="Franklin Gothic Book"/>
              <w:sz w:val="18"/>
              <w:szCs w:val="18"/>
            </w:rPr>
            <w:id w:val="894859362"/>
            <w14:checkbox>
              <w14:checked w14:val="0"/>
              <w14:checkedState w14:val="2612" w14:font="MS Gothic"/>
              <w14:uncheckedState w14:val="2610" w14:font="MS Gothic"/>
            </w14:checkbox>
          </w:sdtPr>
          <w:sdtEndPr/>
          <w:sdtContent>
            <w:tc>
              <w:tcPr>
                <w:tcW w:w="459" w:type="dxa"/>
              </w:tcPr>
              <w:p w14:paraId="5694B7E3" w14:textId="77777777" w:rsidR="0060023D" w:rsidRPr="00DF4C88" w:rsidRDefault="0060023D" w:rsidP="00FF097A">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25F6D76" w14:textId="1CCA471F" w:rsidR="0060023D" w:rsidRDefault="0060023D" w:rsidP="00FF097A">
            <w:pPr>
              <w:rPr>
                <w:rFonts w:ascii="Franklin Gothic Book" w:hAnsi="Franklin Gothic Book" w:cs="Arial"/>
                <w:sz w:val="18"/>
                <w:szCs w:val="18"/>
              </w:rPr>
            </w:pPr>
            <w:r>
              <w:rPr>
                <w:rFonts w:ascii="Franklin Gothic Book" w:hAnsi="Franklin Gothic Book" w:cs="Arial"/>
                <w:sz w:val="18"/>
                <w:szCs w:val="18"/>
              </w:rPr>
              <w:t>252.239-7010</w:t>
            </w:r>
          </w:p>
        </w:tc>
        <w:tc>
          <w:tcPr>
            <w:tcW w:w="8370" w:type="dxa"/>
          </w:tcPr>
          <w:p w14:paraId="41F71438" w14:textId="70831BA5" w:rsidR="0060023D" w:rsidRDefault="0060023D" w:rsidP="00FF097A">
            <w:pPr>
              <w:rPr>
                <w:rFonts w:ascii="Franklin Gothic Book" w:hAnsi="Franklin Gothic Book" w:cs="Arial"/>
                <w:sz w:val="18"/>
                <w:szCs w:val="18"/>
              </w:rPr>
            </w:pPr>
            <w:r>
              <w:rPr>
                <w:rFonts w:ascii="Franklin Gothic Book" w:hAnsi="Franklin Gothic Book" w:cs="Arial"/>
                <w:sz w:val="18"/>
                <w:szCs w:val="18"/>
              </w:rPr>
              <w:t>Cloud Computing Services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459" w:type="dxa"/>
              </w:tcPr>
              <w:p w14:paraId="47DFC1D0" w14:textId="231EFD4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69036AA1" w:rsidR="00AB30D6" w:rsidRPr="00760BF6"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21902B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4770A5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1"/>
              <w14:checkedState w14:val="2612" w14:font="MS Gothic"/>
              <w14:uncheckedState w14:val="2610" w14:font="MS Gothic"/>
            </w14:checkbox>
          </w:sdtPr>
          <w:sdtEndPr/>
          <w:sdtContent>
            <w:tc>
              <w:tcPr>
                <w:tcW w:w="459" w:type="dxa"/>
              </w:tcPr>
              <w:p w14:paraId="06B038BB" w14:textId="05EA594B" w:rsidR="00AB30D6" w:rsidRPr="00DF4C88" w:rsidRDefault="00775DF4"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0"/>
              <w14:checkedState w14:val="2612" w14:font="MS Gothic"/>
              <w14:uncheckedState w14:val="2610" w14:font="MS Gothic"/>
            </w14:checkbox>
          </w:sdtPr>
          <w:sdtEndPr/>
          <w:sdtContent>
            <w:tc>
              <w:tcPr>
                <w:tcW w:w="459" w:type="dxa"/>
              </w:tcPr>
              <w:p w14:paraId="4B9AEB9C" w14:textId="77974E1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2B3DD31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6DEDEDA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0E24736B" w:rsidR="00AB30D6" w:rsidRPr="00DF4C88" w:rsidRDefault="00775DF4"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4AACC03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184FCD3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1F2C55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1309FD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52FCC0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43C4F2E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579EE97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229C3603"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2793B1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3AB1992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178D07F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82D19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238BEB3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5D793C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194F4C9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152093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0C4A165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69FC8C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4EF2B1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0CF3CB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5057EB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1CCF51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67FA" w14:textId="77777777" w:rsidR="00EC5782" w:rsidRDefault="00EC5782">
      <w:r>
        <w:separator/>
      </w:r>
    </w:p>
  </w:endnote>
  <w:endnote w:type="continuationSeparator" w:id="0">
    <w:p w14:paraId="0298DE28" w14:textId="77777777" w:rsidR="00EC5782" w:rsidRDefault="00EC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7CC81DB6" w:rsidR="000E5E6C" w:rsidRPr="009E4E34" w:rsidRDefault="000E5E6C"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8174C4">
      <w:rPr>
        <w:rFonts w:ascii="Franklin Gothic Book" w:hAnsi="Franklin Gothic Book" w:cs="Arial"/>
        <w:sz w:val="18"/>
        <w:szCs w:val="18"/>
      </w:rPr>
      <w:t>09/03</w:t>
    </w:r>
    <w:r>
      <w:rPr>
        <w:rFonts w:ascii="Franklin Gothic Book" w:hAnsi="Franklin Gothic Book" w:cs="Arial"/>
        <w:sz w:val="18"/>
        <w:szCs w:val="18"/>
      </w:rPr>
      <w:t>/2015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570B12">
      <w:rPr>
        <w:rFonts w:ascii="Franklin Gothic Book" w:hAnsi="Franklin Gothic Book" w:cs="Arial"/>
        <w:noProof/>
        <w:color w:val="000000"/>
        <w:sz w:val="18"/>
        <w:szCs w:val="18"/>
      </w:rPr>
      <w:t>4</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570B12">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B7F0E" w14:textId="77777777" w:rsidR="00EC5782" w:rsidRDefault="00EC5782">
      <w:r>
        <w:separator/>
      </w:r>
    </w:p>
  </w:footnote>
  <w:footnote w:type="continuationSeparator" w:id="0">
    <w:p w14:paraId="3A1C13DA" w14:textId="77777777" w:rsidR="00EC5782" w:rsidRDefault="00EC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E5E6C" w:rsidRDefault="000E5E6C">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6FFD"/>
    <w:rsid w:val="0008528E"/>
    <w:rsid w:val="00095F8F"/>
    <w:rsid w:val="000E0303"/>
    <w:rsid w:val="000E5E6C"/>
    <w:rsid w:val="000F4C2D"/>
    <w:rsid w:val="00107CD2"/>
    <w:rsid w:val="0012044C"/>
    <w:rsid w:val="00131E22"/>
    <w:rsid w:val="00132B75"/>
    <w:rsid w:val="0013337C"/>
    <w:rsid w:val="001343C7"/>
    <w:rsid w:val="001625B5"/>
    <w:rsid w:val="00190735"/>
    <w:rsid w:val="00193D61"/>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70B12"/>
    <w:rsid w:val="00583AC3"/>
    <w:rsid w:val="00587822"/>
    <w:rsid w:val="005B3645"/>
    <w:rsid w:val="005C4DAD"/>
    <w:rsid w:val="005D3E10"/>
    <w:rsid w:val="005E45AF"/>
    <w:rsid w:val="005F5083"/>
    <w:rsid w:val="0060023D"/>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75DF4"/>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71A26"/>
    <w:rsid w:val="00873E7B"/>
    <w:rsid w:val="008769DC"/>
    <w:rsid w:val="008C4713"/>
    <w:rsid w:val="0090131D"/>
    <w:rsid w:val="00907AD5"/>
    <w:rsid w:val="00911C07"/>
    <w:rsid w:val="00913320"/>
    <w:rsid w:val="00961292"/>
    <w:rsid w:val="00971CFB"/>
    <w:rsid w:val="00971E56"/>
    <w:rsid w:val="00975B83"/>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63F32"/>
    <w:rsid w:val="00DB6A03"/>
    <w:rsid w:val="00DD610A"/>
    <w:rsid w:val="00DF1F8C"/>
    <w:rsid w:val="00E00836"/>
    <w:rsid w:val="00E20732"/>
    <w:rsid w:val="00E37C51"/>
    <w:rsid w:val="00E50BF0"/>
    <w:rsid w:val="00E74EB3"/>
    <w:rsid w:val="00E77C88"/>
    <w:rsid w:val="00EA00E1"/>
    <w:rsid w:val="00EA37C9"/>
    <w:rsid w:val="00EA4E54"/>
    <w:rsid w:val="00EC5782"/>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3CC7CDD1-12E1-4C2B-BC8E-6FDB5527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3.xml><?xml version="1.0" encoding="utf-8"?>
<ds:datastoreItem xmlns:ds="http://schemas.openxmlformats.org/officeDocument/2006/customXml" ds:itemID="{FB61428F-4C46-4244-AAE7-636A83B1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5.xml><?xml version="1.0" encoding="utf-8"?>
<ds:datastoreItem xmlns:ds="http://schemas.openxmlformats.org/officeDocument/2006/customXml" ds:itemID="{6309C9BC-05F4-4836-A67B-7AB7A77D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45175</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Pela, Jennifer L.</cp:lastModifiedBy>
  <cp:revision>2</cp:revision>
  <cp:lastPrinted>2015-05-13T14:13:00Z</cp:lastPrinted>
  <dcterms:created xsi:type="dcterms:W3CDTF">2015-09-18T13:55:00Z</dcterms:created>
  <dcterms:modified xsi:type="dcterms:W3CDTF">2015-09-18T13:55:00Z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